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4B55">
      <w:r>
        <w:t>PEDODONTIA LIST OF LECTURES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CHILD PSYCHOLOGY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CONSCIOUS SEDATION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DENTAL CARIES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DENTAL HOME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DEVELOPMENT OF OCCLUSION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DEVELOPMENT OF MILESTONE IN CHILDREN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DIGITAL RADIOGRAPHIC DIAGNOSIS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EXODONTIA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FEAR AND ANXIETY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INCIPIENT MALOCCLUSION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INTRODUCTION TO PEDIATRIC DENTISTRY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MINOR ORAL SURGICAL PROCEDURES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NONPHARMACOLOGICAL BEHAVIOUR MANAGEMENT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PEDIATRIC ESTHETICS IN DENTISTRY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PERIODONTAL PROBLEMS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PIT AND FISSURE SEALANTS AND ART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PSYCHOMETRIC ASSESSMENT OF DENTAL FEAR AND ANXIETY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RADIOGRAPHIC TECHNIQUES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SEMIPERMANENT RESTORATION</w:t>
      </w:r>
    </w:p>
    <w:p w:rsidR="00E34B55" w:rsidRDefault="00E34B55" w:rsidP="00E34B55">
      <w:pPr>
        <w:pStyle w:val="ListParagraph"/>
        <w:numPr>
          <w:ilvl w:val="0"/>
          <w:numId w:val="1"/>
        </w:numPr>
      </w:pPr>
      <w:r>
        <w:t>TOOTH ERUPTION AND SHEDDING</w:t>
      </w:r>
    </w:p>
    <w:sectPr w:rsidR="00E34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333B"/>
    <w:multiLevelType w:val="hybridMultilevel"/>
    <w:tmpl w:val="0560A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0"/>
  <w:proofState w:spelling="clean" w:grammar="clean"/>
  <w:defaultTabStop w:val="720"/>
  <w:characterSpacingControl w:val="doNotCompress"/>
  <w:compat>
    <w:useFELayout/>
  </w:compat>
  <w:rsids>
    <w:rsidRoot w:val="00E34B55"/>
    <w:rsid w:val="00E3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2022-08-10T10:20:00Z</dcterms:created>
  <dcterms:modified xsi:type="dcterms:W3CDTF">2022-08-10T10:26:00Z</dcterms:modified>
</cp:coreProperties>
</file>